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8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</w:tblGrid>
      <w:tr w:rsidR="00953423" w:rsidRPr="00516DDB" w14:paraId="25E37496" w14:textId="77777777" w:rsidTr="009534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6474D9" w14:textId="77777777" w:rsidR="00953423" w:rsidRPr="00516DDB" w:rsidRDefault="00953423" w:rsidP="00E555A2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516DDB">
              <w:rPr>
                <w:rFonts w:ascii="Times New Roman" w:hAnsi="Times New Roman"/>
                <w:sz w:val="28"/>
                <w:szCs w:val="28"/>
              </w:rPr>
              <w:t>Приложение 23 к приказу</w:t>
            </w:r>
          </w:p>
        </w:tc>
      </w:tr>
      <w:tr w:rsidR="003B4767" w:rsidRPr="00516DDB" w14:paraId="060707C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FC6A79" w14:textId="77777777" w:rsidR="003B4767" w:rsidRPr="00516DDB" w:rsidRDefault="007D3B74" w:rsidP="00E555A2">
            <w:pPr>
              <w:ind w:left="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DDB">
              <w:rPr>
                <w:rFonts w:ascii="Times New Roman" w:hAnsi="Times New Roman"/>
                <w:sz w:val="28"/>
                <w:szCs w:val="28"/>
              </w:rPr>
              <w:t>Министра финансов Республики Казахстан</w:t>
            </w:r>
          </w:p>
          <w:p w14:paraId="6B8D5E79" w14:textId="77777777" w:rsidR="003B4767" w:rsidRPr="00516DDB" w:rsidRDefault="007D3B74" w:rsidP="00E555A2">
            <w:pPr>
              <w:ind w:left="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DDB">
              <w:rPr>
                <w:rFonts w:ascii="Times New Roman" w:hAnsi="Times New Roman"/>
                <w:sz w:val="28"/>
                <w:szCs w:val="28"/>
              </w:rPr>
              <w:t>от 20 декабря 2020 года</w:t>
            </w:r>
          </w:p>
          <w:p w14:paraId="296E42D7" w14:textId="77777777" w:rsidR="003B4767" w:rsidRPr="00516DDB" w:rsidRDefault="007D3B74" w:rsidP="00E555A2">
            <w:pPr>
              <w:ind w:left="2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DDB">
              <w:rPr>
                <w:rFonts w:ascii="Times New Roman" w:hAnsi="Times New Roman"/>
                <w:sz w:val="28"/>
                <w:szCs w:val="28"/>
              </w:rPr>
              <w:t>№ 1214</w:t>
            </w:r>
          </w:p>
        </w:tc>
      </w:tr>
    </w:tbl>
    <w:p w14:paraId="56C11BD4" w14:textId="77777777" w:rsidR="00CF5F5E" w:rsidRPr="00516DDB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556E01" w14:textId="77777777" w:rsidR="00CF5F5E" w:rsidRPr="00516DDB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44F1A" w:rsidRPr="00516DDB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</w:p>
    <w:p w14:paraId="6D69FBF8" w14:textId="77777777" w:rsidR="00CF5F5E" w:rsidRPr="00516DDB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DD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15F4509B" w14:textId="77777777" w:rsidR="00CF5F5E" w:rsidRPr="00516DDB" w:rsidRDefault="00CF5F5E" w:rsidP="00CF5F5E">
      <w:pPr>
        <w:widowControl w:val="0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D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января 2020 года № 39</w:t>
      </w:r>
    </w:p>
    <w:p w14:paraId="58C5195B" w14:textId="77777777" w:rsidR="002C1B74" w:rsidRPr="00516DDB" w:rsidRDefault="002C1B74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6AAA1A" w14:textId="77777777" w:rsidR="002C1B74" w:rsidRPr="00516DDB" w:rsidRDefault="002C1B74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18F696" w14:textId="0ACA25C3" w:rsidR="00142457" w:rsidRPr="00516DDB" w:rsidRDefault="00516DDB" w:rsidP="00516DDB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516DDB">
        <w:rPr>
          <w:color w:val="1E1E1E"/>
          <w:sz w:val="28"/>
          <w:szCs w:val="28"/>
        </w:rPr>
        <w:t>Правила составления налоговой отчетности "Декларация для налогоплательщиков, применяющих специальный налоговый режим розничного налога (форма 913.00)</w:t>
      </w:r>
    </w:p>
    <w:p w14:paraId="50B8B1A8" w14:textId="77777777" w:rsidR="006D1707" w:rsidRPr="00516DDB" w:rsidRDefault="006D170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6D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14:paraId="588459B7" w14:textId="77777777" w:rsidR="00142457" w:rsidRPr="00516DDB" w:rsidRDefault="00142457" w:rsidP="001424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4972EB" w14:textId="4D9ABA30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1. Настоящие Правила составления налоговой отчетности "Декларация для налогоплательщиков, применяющих специальный налоговый режим розничного налога (форма 913.00)" (далее – Правила) разработаны в соответствии с </w:t>
      </w:r>
      <w:hyperlink r:id="rId6" w:anchor="z778" w:history="1">
        <w:r w:rsidRPr="00516DDB">
          <w:rPr>
            <w:rStyle w:val="a9"/>
            <w:color w:val="073A5E"/>
            <w:spacing w:val="2"/>
            <w:sz w:val="28"/>
            <w:szCs w:val="28"/>
          </w:rPr>
          <w:t>Кодексом</w:t>
        </w:r>
      </w:hyperlink>
      <w:r w:rsidRPr="00516DDB">
        <w:rPr>
          <w:color w:val="000000"/>
          <w:spacing w:val="2"/>
          <w:sz w:val="28"/>
          <w:szCs w:val="28"/>
        </w:rPr>
        <w:t> Республики Казахстан "О налогах и других обязательных платежах в бюджет" (Налоговый кодекс) (далее – Налоговой кодекс) и определяют порядок составления формы налоговой отчетности "Декларация для налогоплательщиков, применяющих специальный налоговый режим розничного налога" (далее – декларация). Декларация составляется субъектами малого и среднего бизнеса, применяющими специальный налоговый режим розничного налога.</w:t>
      </w:r>
    </w:p>
    <w:p w14:paraId="50CA6DCC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2. При заполнении декларации не допускаются исправления, подчистки и помарки.</w:t>
      </w:r>
    </w:p>
    <w:p w14:paraId="00E30F7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3. В настоящих Правилах применяются следующие арифметические знаки: "+" – плюс, "–" – минус, "х" – умножение, "/" – деление, "=" – равно.</w:t>
      </w:r>
    </w:p>
    <w:p w14:paraId="21D41DD9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Отрицательные значения сумм обозначаются знаком "–" в первой левой ячейке соответствующей строки декларации.</w:t>
      </w:r>
    </w:p>
    <w:p w14:paraId="6189BF5C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4. При отсутствии показателей соответствующие ячейки декларации не заполняются.</w:t>
      </w:r>
    </w:p>
    <w:p w14:paraId="7C7F143B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lastRenderedPageBreak/>
        <w:t>      5. При составлении декларации:</w:t>
      </w:r>
    </w:p>
    <w:p w14:paraId="323821DB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E77A34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2) в электронной форме – заполняется в соответствии со </w:t>
      </w:r>
      <w:hyperlink r:id="rId7" w:anchor="z208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статьей 208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кодекса.</w:t>
      </w:r>
    </w:p>
    <w:p w14:paraId="3EC0AB8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6.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0080F266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7. При представлении декларации:</w:t>
      </w:r>
    </w:p>
    <w:p w14:paraId="6DDFE7CD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41CC9EE2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61F80969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038DDBA9" w14:textId="77777777" w:rsidR="00516DDB" w:rsidRPr="00516DDB" w:rsidRDefault="00516DDB" w:rsidP="00516DDB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bookmarkStart w:id="0" w:name="_GoBack"/>
      <w:r w:rsidRPr="00516DDB">
        <w:rPr>
          <w:color w:val="1E1E1E"/>
          <w:sz w:val="28"/>
          <w:szCs w:val="28"/>
        </w:rPr>
        <w:t>Глава 2. Пояснение по заполнению декларации (форма 913.00)</w:t>
      </w:r>
    </w:p>
    <w:bookmarkEnd w:id="0"/>
    <w:p w14:paraId="7430A60D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8. В разделе "Общая информация о налогоплательщике (налоговом агенте)" налогоплательщик (налоговый агент) указывает следующие данные:</w:t>
      </w:r>
    </w:p>
    <w:p w14:paraId="095F41C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1) индивидуальный идентификационный номер (бизнес-идентификационный номер) (далее – ИИН (БИН)) налогоплательщика (налогового агента);</w:t>
      </w:r>
    </w:p>
    <w:p w14:paraId="266A3480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2) налоговый период, за который представляется налоговая отчетность (указывается арабскими цифрами);</w:t>
      </w:r>
    </w:p>
    <w:p w14:paraId="536CCC7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lastRenderedPageBreak/>
        <w:t>      3) фамилия, имя, отчество (при его наличии) индивидуального предпринимателя или наименование юридического лица в соответствии с учредительными документами.</w:t>
      </w:r>
    </w:p>
    <w:p w14:paraId="0FEDEE3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35D98CA7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4) организационно-правовая форма налогоплательщика.</w:t>
      </w:r>
    </w:p>
    <w:p w14:paraId="75F5AB1F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Ячейка отмечается в строке А, если налогоплательщик является юридическим лицом, в строке В, если налогоплательщик является индивидуальным предпринимателем;</w:t>
      </w:r>
    </w:p>
    <w:p w14:paraId="6CB2B6E6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5) вид декларации.</w:t>
      </w:r>
    </w:p>
    <w:p w14:paraId="1F1F9276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Соответствующие ячейки отмечаются с учетом отнесения декларации к видам налоговой отчетности, указанным в </w:t>
      </w:r>
      <w:hyperlink r:id="rId8" w:anchor="z206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статье 206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кодекса;</w:t>
      </w:r>
    </w:p>
    <w:p w14:paraId="19428AEB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6) номер и дата уведомления.</w:t>
      </w:r>
    </w:p>
    <w:p w14:paraId="28D808E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Ячейки заполняются в случае представления вида декларации, предусмотренного подпунктом 4) </w:t>
      </w:r>
      <w:hyperlink r:id="rId9" w:anchor="z3909" w:history="1">
        <w:r w:rsidRPr="00516DDB">
          <w:rPr>
            <w:rStyle w:val="a9"/>
            <w:color w:val="073A5E"/>
            <w:spacing w:val="2"/>
            <w:sz w:val="28"/>
            <w:szCs w:val="28"/>
          </w:rPr>
          <w:t>пункта 3</w:t>
        </w:r>
      </w:hyperlink>
      <w:r w:rsidRPr="00516DDB">
        <w:rPr>
          <w:color w:val="000000"/>
          <w:spacing w:val="2"/>
          <w:sz w:val="28"/>
          <w:szCs w:val="28"/>
        </w:rPr>
        <w:t> статьи 206 Налогового кодекса;</w:t>
      </w:r>
    </w:p>
    <w:p w14:paraId="02D9595D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7) Отдельные категории налогоплательщика.</w:t>
      </w:r>
    </w:p>
    <w:p w14:paraId="6745EC0C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Ячейки отмечаются в случае, если налогоплательщик относится к одной из категорий, указанных в строке А или В:</w:t>
      </w:r>
    </w:p>
    <w:p w14:paraId="007D6919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А – доверительный управляющий в соответствии со </w:t>
      </w:r>
      <w:hyperlink r:id="rId10" w:anchor="z40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статьей 40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кодекса;</w:t>
      </w:r>
    </w:p>
    <w:p w14:paraId="66359B4D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В – учредитель доверительного управления в соответствии со статьей 40 Налогового кодекса;</w:t>
      </w:r>
    </w:p>
    <w:p w14:paraId="3193D428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8) код валюты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деклараций".</w:t>
      </w:r>
    </w:p>
    <w:p w14:paraId="0F3ED927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9. В разделе "Доход за налоговый период":</w:t>
      </w:r>
    </w:p>
    <w:p w14:paraId="791D5FB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lastRenderedPageBreak/>
        <w:t>      1) в строке 913.00.001 указывается сумма дохода от реализации, определяемая в соответствии со </w:t>
      </w:r>
      <w:hyperlink r:id="rId11" w:anchor="z225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статьями 225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2" w:anchor="z226" w:history="1">
        <w:r w:rsidRPr="00516DDB">
          <w:rPr>
            <w:rStyle w:val="a9"/>
            <w:color w:val="073A5E"/>
            <w:spacing w:val="2"/>
            <w:sz w:val="28"/>
            <w:szCs w:val="28"/>
          </w:rPr>
          <w:t>226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3" w:anchor="z227" w:history="1">
        <w:r w:rsidRPr="00516DDB">
          <w:rPr>
            <w:rStyle w:val="a9"/>
            <w:color w:val="073A5E"/>
            <w:spacing w:val="2"/>
            <w:sz w:val="28"/>
            <w:szCs w:val="28"/>
          </w:rPr>
          <w:t>227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4" w:anchor="z228" w:history="1">
        <w:r w:rsidRPr="00516DDB">
          <w:rPr>
            <w:rStyle w:val="a9"/>
            <w:color w:val="073A5E"/>
            <w:spacing w:val="2"/>
            <w:sz w:val="28"/>
            <w:szCs w:val="28"/>
          </w:rPr>
          <w:t>228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5" w:anchor="z229" w:history="1">
        <w:r w:rsidRPr="00516DDB">
          <w:rPr>
            <w:rStyle w:val="a9"/>
            <w:color w:val="073A5E"/>
            <w:spacing w:val="2"/>
            <w:sz w:val="28"/>
            <w:szCs w:val="28"/>
          </w:rPr>
          <w:t>229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6" w:anchor="z230" w:history="1">
        <w:r w:rsidRPr="00516DDB">
          <w:rPr>
            <w:rStyle w:val="a9"/>
            <w:color w:val="073A5E"/>
            <w:spacing w:val="2"/>
            <w:sz w:val="28"/>
            <w:szCs w:val="28"/>
          </w:rPr>
          <w:t>230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7" w:anchor="z231" w:history="1">
        <w:r w:rsidRPr="00516DDB">
          <w:rPr>
            <w:rStyle w:val="a9"/>
            <w:color w:val="073A5E"/>
            <w:spacing w:val="2"/>
            <w:sz w:val="28"/>
            <w:szCs w:val="28"/>
          </w:rPr>
          <w:t>231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8" w:anchor="z232" w:history="1">
        <w:r w:rsidRPr="00516DDB">
          <w:rPr>
            <w:rStyle w:val="a9"/>
            <w:color w:val="073A5E"/>
            <w:spacing w:val="2"/>
            <w:sz w:val="28"/>
            <w:szCs w:val="28"/>
          </w:rPr>
          <w:t>232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19" w:anchor="z233" w:history="1">
        <w:r w:rsidRPr="00516DDB">
          <w:rPr>
            <w:rStyle w:val="a9"/>
            <w:color w:val="073A5E"/>
            <w:spacing w:val="2"/>
            <w:sz w:val="28"/>
            <w:szCs w:val="28"/>
          </w:rPr>
          <w:t>233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20" w:anchor="z234" w:history="1">
        <w:r w:rsidRPr="00516DDB">
          <w:rPr>
            <w:rStyle w:val="a9"/>
            <w:color w:val="073A5E"/>
            <w:spacing w:val="2"/>
            <w:sz w:val="28"/>
            <w:szCs w:val="28"/>
          </w:rPr>
          <w:t>234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21" w:anchor="z235" w:history="1">
        <w:r w:rsidRPr="00516DDB">
          <w:rPr>
            <w:rStyle w:val="a9"/>
            <w:color w:val="073A5E"/>
            <w:spacing w:val="2"/>
            <w:sz w:val="28"/>
            <w:szCs w:val="28"/>
          </w:rPr>
          <w:t>235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22" w:anchor="z236" w:history="1">
        <w:r w:rsidRPr="00516DDB">
          <w:rPr>
            <w:rStyle w:val="a9"/>
            <w:color w:val="073A5E"/>
            <w:spacing w:val="2"/>
            <w:sz w:val="28"/>
            <w:szCs w:val="28"/>
          </w:rPr>
          <w:t>236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23" w:anchor="z237" w:history="1">
        <w:r w:rsidRPr="00516DDB">
          <w:rPr>
            <w:rStyle w:val="a9"/>
            <w:color w:val="073A5E"/>
            <w:spacing w:val="2"/>
            <w:sz w:val="28"/>
            <w:szCs w:val="28"/>
          </w:rPr>
          <w:t>237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24" w:anchor="z238" w:history="1">
        <w:r w:rsidRPr="00516DDB">
          <w:rPr>
            <w:rStyle w:val="a9"/>
            <w:color w:val="073A5E"/>
            <w:spacing w:val="2"/>
            <w:sz w:val="28"/>
            <w:szCs w:val="28"/>
          </w:rPr>
          <w:t>238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25" w:anchor="z239" w:history="1">
        <w:r w:rsidRPr="00516DDB">
          <w:rPr>
            <w:rStyle w:val="a9"/>
            <w:color w:val="073A5E"/>
            <w:spacing w:val="2"/>
            <w:sz w:val="28"/>
            <w:szCs w:val="28"/>
          </w:rPr>
          <w:t>239</w:t>
        </w:r>
      </w:hyperlink>
      <w:r w:rsidRPr="00516DDB">
        <w:rPr>
          <w:color w:val="000000"/>
          <w:spacing w:val="2"/>
          <w:sz w:val="28"/>
          <w:szCs w:val="28"/>
        </w:rPr>
        <w:t>, </w:t>
      </w:r>
      <w:hyperlink r:id="rId26" w:anchor="z240" w:history="1">
        <w:r w:rsidRPr="00516DDB">
          <w:rPr>
            <w:rStyle w:val="a9"/>
            <w:color w:val="073A5E"/>
            <w:spacing w:val="2"/>
            <w:sz w:val="28"/>
            <w:szCs w:val="28"/>
          </w:rPr>
          <w:t>240</w:t>
        </w:r>
      </w:hyperlink>
      <w:r w:rsidRPr="00516DDB">
        <w:rPr>
          <w:color w:val="000000"/>
          <w:spacing w:val="2"/>
          <w:sz w:val="28"/>
          <w:szCs w:val="28"/>
        </w:rPr>
        <w:t> и </w:t>
      </w:r>
      <w:hyperlink r:id="rId27" w:anchor="z241" w:history="1">
        <w:r w:rsidRPr="00516DDB">
          <w:rPr>
            <w:rStyle w:val="a9"/>
            <w:color w:val="073A5E"/>
            <w:spacing w:val="2"/>
            <w:sz w:val="28"/>
            <w:szCs w:val="28"/>
          </w:rPr>
          <w:t>241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 – юридическим лицом;</w:t>
      </w:r>
    </w:p>
    <w:p w14:paraId="76EEED2A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индивидуальным предпринимателем – аналогично порядку определения совокупного годового дохода в целях исчисления корпоративного подоходного налога, установленного статьей 225 Налогового кодекса, с учетом особенностей, предусмотренных статьями 226, 227, 228, 229, 230, 231, 232, 233, 234, 235, 236, 237, 238, 239 и 240 Налогового кодекса;</w:t>
      </w:r>
    </w:p>
    <w:p w14:paraId="470D48E3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2) в строке 913.00.002 указывается сумма дохода от прироста стоимости, определяемая в соответствии со статьей 228 Налогового кодекса с учетом положений статьи 300 Налогового кодекса;</w:t>
      </w:r>
    </w:p>
    <w:p w14:paraId="63B20434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3) в строке 913.00.003 указывается сумма дохода от списания обязательств, определяемая в соответствии со статьей 229 Налогового кодекса;</w:t>
      </w:r>
    </w:p>
    <w:p w14:paraId="3F5833A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4) в строке 913.00.004 указывается сумма дохода по сомнительным обязательствам, определяемая в соответствии со статьей 230 Налогового кодекса;</w:t>
      </w:r>
    </w:p>
    <w:p w14:paraId="35C1812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5) в строке 913.00.005 указывается доход от уступки права требования в соответствии со статьей 233 Налогового кодекса, определяемый как сумма строк 913.00.005 I и 913.00.005 II;</w:t>
      </w:r>
    </w:p>
    <w:p w14:paraId="5B858572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в строке 913.00.005 I указывается доход от уступки права требования по приобретенному праву требования;</w:t>
      </w:r>
    </w:p>
    <w:p w14:paraId="2C5D480C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в строке 913.00.005 II указывается доход от уступки права требования по уступленному праву требования;</w:t>
      </w:r>
    </w:p>
    <w:p w14:paraId="11A1C1D7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6) в строке 913.00.006 указывается сумма доходов налогоплательщика, не отраженная в строках с 913.00.001 по 913.00.005;</w:t>
      </w:r>
    </w:p>
    <w:p w14:paraId="0596018B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7) в строках 913.00.006 I, 913.00.006 II и 913.00.006 III указывается положение Налогового кодекса, соответствующее доходу, включаемому в доход (выбор из справочника), а также сумма такого дохода;</w:t>
      </w:r>
    </w:p>
    <w:p w14:paraId="66C5D9F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8) в строке 913.00.007 указывается сумма дохода за налоговый период, отраженная в строках с 913.00.001 по 913.00.006.</w:t>
      </w:r>
    </w:p>
    <w:p w14:paraId="4F476924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10. В разделе "Корректировка дохода":</w:t>
      </w:r>
    </w:p>
    <w:p w14:paraId="01995B74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lastRenderedPageBreak/>
        <w:t>      1) в строке 913.00.008 указывается сумма корректировки дохода в соответствии с пунктом 1 статьи 241 Налогового кодекса;</w:t>
      </w:r>
    </w:p>
    <w:p w14:paraId="73562EA7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2) в строках 913.00.008 I, 913.00.008 II и 913.00.008 III указывается положение Налогового кодекса, в соответствии с которым производится корректировка подоходного налога (выбор из справочника), а также сумма такой корректировки;</w:t>
      </w:r>
    </w:p>
    <w:p w14:paraId="4C48C1B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3) в строке 913.00.009 указывается сумма корректировки дохода в соответствии с пунктом 3 статьи 241 Налогового кодекса;</w:t>
      </w:r>
    </w:p>
    <w:p w14:paraId="1E3D6BD2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4) в строке 913.00.010 указывается доход с учетом корректировок (913.00.007 – 913.00.008 + или – 913.00.009).</w:t>
      </w:r>
    </w:p>
    <w:p w14:paraId="355E09F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11. В разделе "Расчет налогового обязательства":</w:t>
      </w:r>
    </w:p>
    <w:p w14:paraId="73B0344B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в строке 913.00.011 указывается сумма исчисленного индивидуального (корпоративного) подоходного налога налоговый период в соответствии с </w:t>
      </w:r>
      <w:hyperlink r:id="rId28" w:anchor="z15979" w:history="1">
        <w:r w:rsidRPr="00516DDB">
          <w:rPr>
            <w:rStyle w:val="a9"/>
            <w:color w:val="073A5E"/>
            <w:spacing w:val="2"/>
            <w:sz w:val="28"/>
            <w:szCs w:val="28"/>
          </w:rPr>
          <w:t>пунктом 4</w:t>
        </w:r>
      </w:hyperlink>
      <w:r w:rsidRPr="00516DDB">
        <w:rPr>
          <w:color w:val="000000"/>
          <w:spacing w:val="2"/>
          <w:sz w:val="28"/>
          <w:szCs w:val="28"/>
        </w:rPr>
        <w:t> статьи 696-1 Налогового кодекса с учетом корректировок, с применением ставки в размере 3 процента.</w:t>
      </w:r>
    </w:p>
    <w:p w14:paraId="49D327F8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12. В разделе "Расходы":</w:t>
      </w:r>
    </w:p>
    <w:p w14:paraId="44B11F59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1) в строке 913.00.012 указываются расходы по реализованным товарам (работам, услугам) (913.00.012I – 913.00.012II + 913.00.013 + 913.00.014);</w:t>
      </w:r>
    </w:p>
    <w:p w14:paraId="5A0C736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2) в строке 913.00.013 указываются расходы по приобретенным запасам, работам и услугам всего, в том числе:</w:t>
      </w:r>
    </w:p>
    <w:p w14:paraId="2AB3D04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913.00.013 I</w:t>
      </w:r>
    </w:p>
    <w:p w14:paraId="4F49B418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запасы – является обязательным;</w:t>
      </w:r>
    </w:p>
    <w:p w14:paraId="598ECC1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 913.00.013 II по 913.00.013 IV – выбор из справочника:</w:t>
      </w:r>
    </w:p>
    <w:p w14:paraId="56378FBA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финансовые услуги;</w:t>
      </w:r>
    </w:p>
    <w:p w14:paraId="2C91AD76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рекламные услуги;</w:t>
      </w:r>
    </w:p>
    <w:p w14:paraId="6BB8480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консультационные услуги;</w:t>
      </w:r>
    </w:p>
    <w:p w14:paraId="17AF3ACA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маркетинговые услуги;</w:t>
      </w:r>
    </w:p>
    <w:p w14:paraId="386F049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lastRenderedPageBreak/>
        <w:t>      дизайнерские услуги;</w:t>
      </w:r>
    </w:p>
    <w:p w14:paraId="160EF676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инжиниринговые услуги;</w:t>
      </w:r>
    </w:p>
    <w:p w14:paraId="5711C0CB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прочие услуги и работы;</w:t>
      </w:r>
    </w:p>
    <w:p w14:paraId="5F1E00DD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3) в строке 913.00.014 указываются прочие расходы по реализованным товарам (работам, услугам);</w:t>
      </w:r>
    </w:p>
    <w:p w14:paraId="1D140550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 913.00.014 I по 913.00.014 III – выбор из справочника:</w:t>
      </w:r>
    </w:p>
    <w:p w14:paraId="241C9E8A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расходы по начисленным доходам работников и иным выплатам физическим лицам;</w:t>
      </w:r>
    </w:p>
    <w:p w14:paraId="78FACAC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указывается стоимость работ и услуг, себестоимость запасов, которые были признаны расходами будущих периодов в предыдущих налоговых периодах;</w:t>
      </w:r>
    </w:p>
    <w:p w14:paraId="484137E9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указывается стоимость работ и услуг, себестоимость запасов, которые признаются последующими расходами по фиксированным активам, арендуемым основным средствам, объектам преференций;</w:t>
      </w:r>
    </w:p>
    <w:p w14:paraId="090AD1C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указываются стоимость работ и услуг, себестоимость запасов, включаемые в первоначальную стоимость фиксированных активов, объектов преференций, активов, не подлежащих амортизации;</w:t>
      </w:r>
    </w:p>
    <w:p w14:paraId="7F1E2A29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стоимость работ и услуг, себестоимость запасов, за исключением стоимости, отражаемой по строке 913.00.014, в том числе сумма расходов по естественной убыли запасов;</w:t>
      </w:r>
    </w:p>
    <w:p w14:paraId="43445E8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стоимость работ и услуг, себестоимость запасов, признаваемые в отчетном налоговом периоде расходами будущих периодов;</w:t>
      </w:r>
    </w:p>
    <w:p w14:paraId="30EC4A93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4) в строке 913.00.015 указываются прочие расходы, не отраженные в строках 913.00.013 и 913.00.014;</w:t>
      </w:r>
    </w:p>
    <w:p w14:paraId="73F5ACD6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 913.00.015 I по 913.00.015 III – выбор из справочника:</w:t>
      </w:r>
    </w:p>
    <w:p w14:paraId="32F479DD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общая сумма расходов по неустойке (штрафам, пени), определяемая в соответствии с </w:t>
      </w:r>
      <w:hyperlink r:id="rId29" w:anchor="z4633" w:history="1">
        <w:r w:rsidRPr="00516DDB">
          <w:rPr>
            <w:rStyle w:val="a9"/>
            <w:color w:val="073A5E"/>
            <w:spacing w:val="2"/>
            <w:sz w:val="28"/>
            <w:szCs w:val="28"/>
          </w:rPr>
          <w:t>пунктом 7</w:t>
        </w:r>
      </w:hyperlink>
      <w:r w:rsidRPr="00516DDB">
        <w:rPr>
          <w:color w:val="000000"/>
          <w:spacing w:val="2"/>
          <w:sz w:val="28"/>
          <w:szCs w:val="28"/>
        </w:rPr>
        <w:t> статьи 243 Налогового кодекса;</w:t>
      </w:r>
    </w:p>
    <w:p w14:paraId="67F3F15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lastRenderedPageBreak/>
        <w:t>      сумма налога на добавленную стоимость, определяемая по основаниям, установленным </w:t>
      </w:r>
      <w:hyperlink r:id="rId30" w:anchor="z4635" w:history="1">
        <w:r w:rsidRPr="00516DDB">
          <w:rPr>
            <w:rStyle w:val="a9"/>
            <w:color w:val="073A5E"/>
            <w:spacing w:val="2"/>
            <w:sz w:val="28"/>
            <w:szCs w:val="28"/>
          </w:rPr>
          <w:t>пунктом 9</w:t>
        </w:r>
      </w:hyperlink>
      <w:r w:rsidRPr="00516DDB">
        <w:rPr>
          <w:color w:val="000000"/>
          <w:spacing w:val="2"/>
          <w:sz w:val="28"/>
          <w:szCs w:val="28"/>
        </w:rPr>
        <w:t> статьи 243 Налогового кодекса;</w:t>
      </w:r>
    </w:p>
    <w:p w14:paraId="147DAF0F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сумма начисленных социальных отчислений в Государственный фонд социального страхования, определяемая в соответствии с </w:t>
      </w:r>
      <w:hyperlink r:id="rId31" w:anchor="z4651" w:history="1">
        <w:r w:rsidRPr="00516DDB">
          <w:rPr>
            <w:rStyle w:val="a9"/>
            <w:color w:val="073A5E"/>
            <w:spacing w:val="2"/>
            <w:sz w:val="28"/>
            <w:szCs w:val="28"/>
          </w:rPr>
          <w:t>пунктом 11</w:t>
        </w:r>
      </w:hyperlink>
      <w:r w:rsidRPr="00516DDB">
        <w:rPr>
          <w:color w:val="000000"/>
          <w:spacing w:val="2"/>
          <w:sz w:val="28"/>
          <w:szCs w:val="28"/>
        </w:rPr>
        <w:t> статьи 243 Налогового кодекса, сумма отчислений, уплаченных в фонд социального медицинского страхования в соответствии с Законом об обязательном социальном медицинском страховании, определяемая в соответствии с </w:t>
      </w:r>
      <w:hyperlink r:id="rId32" w:anchor="z4652" w:history="1">
        <w:r w:rsidRPr="00516DDB">
          <w:rPr>
            <w:rStyle w:val="a9"/>
            <w:color w:val="073A5E"/>
            <w:spacing w:val="2"/>
            <w:sz w:val="28"/>
            <w:szCs w:val="28"/>
          </w:rPr>
          <w:t>пунктом 12</w:t>
        </w:r>
      </w:hyperlink>
      <w:r w:rsidRPr="00516DDB">
        <w:rPr>
          <w:color w:val="000000"/>
          <w:spacing w:val="2"/>
          <w:sz w:val="28"/>
          <w:szCs w:val="28"/>
        </w:rPr>
        <w:t> статьи 243 Налогового кодекса и обязательные пенсионные взносы работодателя (ОПВР);</w:t>
      </w:r>
    </w:p>
    <w:p w14:paraId="34B184E1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сумма расходов по вознаграждению, определяемая в соответствии со </w:t>
      </w:r>
      <w:hyperlink r:id="rId33" w:anchor="z246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статьей 246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кодекса;</w:t>
      </w:r>
    </w:p>
    <w:p w14:paraId="1943689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сумма представительских расходов, определяемая в соответствии со </w:t>
      </w:r>
      <w:hyperlink r:id="rId34" w:anchor="z245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статьей 245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кодекса;</w:t>
      </w:r>
    </w:p>
    <w:p w14:paraId="4A0FE27C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сумма по сомнительным требованиям, определяемая в соответствии со </w:t>
      </w:r>
      <w:hyperlink r:id="rId35" w:anchor="z248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статьей 248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кодекса;</w:t>
      </w:r>
    </w:p>
    <w:p w14:paraId="5E709E64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расходы по налогам и платежей в бюджет в соответствии со </w:t>
      </w:r>
      <w:hyperlink r:id="rId36" w:anchor="z263" w:history="1">
        <w:r w:rsidRPr="00516DDB">
          <w:rPr>
            <w:rStyle w:val="a9"/>
            <w:color w:val="073A5E"/>
            <w:spacing w:val="2"/>
            <w:sz w:val="28"/>
            <w:szCs w:val="28"/>
          </w:rPr>
          <w:t>статьей 263</w:t>
        </w:r>
      </w:hyperlink>
      <w:r w:rsidRPr="00516DDB">
        <w:rPr>
          <w:color w:val="000000"/>
          <w:spacing w:val="2"/>
          <w:sz w:val="28"/>
          <w:szCs w:val="28"/>
        </w:rPr>
        <w:t> Налогового кодекса;</w:t>
      </w:r>
    </w:p>
    <w:p w14:paraId="21793906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5) в строке 913.00.016 указываются расходы за налоговый период (913.00.012 + 913.00.015).</w:t>
      </w:r>
    </w:p>
    <w:p w14:paraId="428D54BA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13. В разделе "Ответственность налогоплательщика (налогового агента)":</w:t>
      </w:r>
    </w:p>
    <w:p w14:paraId="42F82A3A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1) в поле "Фамилия, имя, отчество (при его наличии) налогоплательщика (руководителя)" указывается фамилия, имя, отчество (при его наличии) руководителя в соответствии с учредительными документами.</w:t>
      </w:r>
    </w:p>
    <w:p w14:paraId="4578D7EC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В случае, если декларация представляется физическим лицом, в поле указывается фамилия, имя, отчество (при его наличии) налогоплательщика, которые заполняются в соответствии с документами, удостоверяющими личность;</w:t>
      </w:r>
    </w:p>
    <w:p w14:paraId="4800654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2) дата подачи декларации в орган государственных доходов;</w:t>
      </w:r>
    </w:p>
    <w:p w14:paraId="523B42BE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3) код органа государственных доходов по месту нахождения налогоплательщика.</w:t>
      </w:r>
    </w:p>
    <w:p w14:paraId="467C51F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2A61032A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lastRenderedPageBreak/>
        <w:t>      Местом нахождения юридического лица-резидента признается место нахождения его постоянно действующего органа, указываемое в учредительных документах.</w:t>
      </w:r>
    </w:p>
    <w:p w14:paraId="66C32FF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Местом нахождения юридического лица-нерезидента, осуществляющего деятельность через постоянное учреждение без открытия филиала, представительства, признается место осуществления деятельности в Республике Казахстан, заявленное при регистрации в качестве налогоплательщика в органе государственных доходов;</w:t>
      </w:r>
    </w:p>
    <w:p w14:paraId="6913B1B4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4) в поле "Фамилия, имя, отчество (при его наличии) должностного лица, принявшего декларацию" указывается фамилия, имя, отчество (при его наличии) работника органа государственных доходов, принявшего декларацию;</w:t>
      </w:r>
    </w:p>
    <w:p w14:paraId="33952F37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5) дата приема декларации должностным лицом в соответствии с </w:t>
      </w:r>
      <w:hyperlink r:id="rId37" w:anchor="z3959" w:history="1">
        <w:r w:rsidRPr="00516DDB">
          <w:rPr>
            <w:rStyle w:val="a9"/>
            <w:color w:val="073A5E"/>
            <w:spacing w:val="2"/>
            <w:sz w:val="28"/>
            <w:szCs w:val="28"/>
          </w:rPr>
          <w:t>пунктом 2</w:t>
        </w:r>
      </w:hyperlink>
      <w:r w:rsidRPr="00516DDB">
        <w:rPr>
          <w:color w:val="000000"/>
          <w:spacing w:val="2"/>
          <w:sz w:val="28"/>
          <w:szCs w:val="28"/>
        </w:rPr>
        <w:t> статьи 209 Налогового кодекса;</w:t>
      </w:r>
    </w:p>
    <w:p w14:paraId="7D412F3D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6) входящий номер декларации, присваиваемый органом государственных доходов;</w:t>
      </w:r>
    </w:p>
    <w:p w14:paraId="48BE2455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7) дата почтового штемпеля, проставленного почтовой или иной организацией связи.</w:t>
      </w:r>
    </w:p>
    <w:p w14:paraId="41849D62" w14:textId="77777777" w:rsidR="00516DDB" w:rsidRPr="00516DDB" w:rsidRDefault="00516DDB" w:rsidP="00516DD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516DDB">
        <w:rPr>
          <w:color w:val="000000"/>
          <w:spacing w:val="2"/>
          <w:sz w:val="28"/>
          <w:szCs w:val="28"/>
        </w:rPr>
        <w:t>      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5FA8632A" w14:textId="437EEA5C" w:rsidR="008A7B2A" w:rsidRPr="00516DDB" w:rsidRDefault="008A7B2A" w:rsidP="00516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7B2A" w:rsidRPr="00516DDB" w:rsidSect="0079537D">
      <w:headerReference w:type="default" r:id="rId38"/>
      <w:footerReference w:type="default" r:id="rId39"/>
      <w:footerReference w:type="first" r:id="rId40"/>
      <w:pgSz w:w="11906" w:h="16838"/>
      <w:pgMar w:top="1418" w:right="851" w:bottom="1418" w:left="1418" w:header="709" w:footer="709" w:gutter="0"/>
      <w:pgNumType w:start="39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34480" w14:textId="77777777" w:rsidR="000D64E8" w:rsidRDefault="000D64E8" w:rsidP="00CF5F5E">
      <w:pPr>
        <w:spacing w:after="0" w:line="240" w:lineRule="auto"/>
      </w:pPr>
      <w:r>
        <w:separator/>
      </w:r>
    </w:p>
  </w:endnote>
  <w:endnote w:type="continuationSeparator" w:id="0">
    <w:p w14:paraId="3B713DFC" w14:textId="77777777" w:rsidR="000D64E8" w:rsidRDefault="000D64E8" w:rsidP="00CF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3E010" w14:textId="77777777" w:rsidR="003B4767" w:rsidRDefault="003B4767">
    <w:pPr>
      <w:spacing w:after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4CCFF" w14:textId="77777777" w:rsidR="003B4767" w:rsidRDefault="003B4767">
    <w:pPr>
      <w:spacing w:after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76D8F" w14:textId="77777777" w:rsidR="000D64E8" w:rsidRDefault="000D64E8" w:rsidP="00CF5F5E">
      <w:pPr>
        <w:spacing w:after="0" w:line="240" w:lineRule="auto"/>
      </w:pPr>
      <w:r>
        <w:separator/>
      </w:r>
    </w:p>
  </w:footnote>
  <w:footnote w:type="continuationSeparator" w:id="0">
    <w:p w14:paraId="28E432D9" w14:textId="77777777" w:rsidR="000D64E8" w:rsidRDefault="000D64E8" w:rsidP="00CF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63200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6B0DD27" w14:textId="77777777" w:rsidR="00CF5F5E" w:rsidRPr="00CF5F5E" w:rsidRDefault="00CF5F5E" w:rsidP="00CF5F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F5F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F5F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F5F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25C7">
          <w:rPr>
            <w:rFonts w:ascii="Times New Roman" w:hAnsi="Times New Roman" w:cs="Times New Roman"/>
            <w:noProof/>
            <w:sz w:val="28"/>
            <w:szCs w:val="28"/>
          </w:rPr>
          <w:t>408</w:t>
        </w:r>
        <w:r w:rsidRPr="00CF5F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A2106EC" w14:textId="77777777" w:rsidR="00CF5F5E" w:rsidRDefault="00CF5F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707"/>
    <w:rsid w:val="000902EA"/>
    <w:rsid w:val="000B43FC"/>
    <w:rsid w:val="000B5008"/>
    <w:rsid w:val="000C1730"/>
    <w:rsid w:val="000C4D64"/>
    <w:rsid w:val="000D64E8"/>
    <w:rsid w:val="000E6B84"/>
    <w:rsid w:val="00142457"/>
    <w:rsid w:val="00175A92"/>
    <w:rsid w:val="001B7826"/>
    <w:rsid w:val="001C5009"/>
    <w:rsid w:val="00266534"/>
    <w:rsid w:val="00281D48"/>
    <w:rsid w:val="002C1B74"/>
    <w:rsid w:val="00300E2A"/>
    <w:rsid w:val="00317FE4"/>
    <w:rsid w:val="003419D1"/>
    <w:rsid w:val="00375DE1"/>
    <w:rsid w:val="0039325B"/>
    <w:rsid w:val="003B4767"/>
    <w:rsid w:val="003E6562"/>
    <w:rsid w:val="00410724"/>
    <w:rsid w:val="00516DDB"/>
    <w:rsid w:val="00533826"/>
    <w:rsid w:val="00544F1A"/>
    <w:rsid w:val="005A1D0B"/>
    <w:rsid w:val="005A589F"/>
    <w:rsid w:val="005F4C29"/>
    <w:rsid w:val="00612FBA"/>
    <w:rsid w:val="006D1707"/>
    <w:rsid w:val="00735A22"/>
    <w:rsid w:val="00782C60"/>
    <w:rsid w:val="0079537D"/>
    <w:rsid w:val="007B761E"/>
    <w:rsid w:val="007D3B74"/>
    <w:rsid w:val="008A7B2A"/>
    <w:rsid w:val="008B28BE"/>
    <w:rsid w:val="008C6261"/>
    <w:rsid w:val="008D2BB1"/>
    <w:rsid w:val="00920BFF"/>
    <w:rsid w:val="00953423"/>
    <w:rsid w:val="00996ADB"/>
    <w:rsid w:val="009C7BED"/>
    <w:rsid w:val="009D78AF"/>
    <w:rsid w:val="00A05836"/>
    <w:rsid w:val="00A25855"/>
    <w:rsid w:val="00A365B6"/>
    <w:rsid w:val="00A45967"/>
    <w:rsid w:val="00AA02BA"/>
    <w:rsid w:val="00AD4238"/>
    <w:rsid w:val="00AE54E8"/>
    <w:rsid w:val="00AE5F37"/>
    <w:rsid w:val="00B10DAA"/>
    <w:rsid w:val="00B5253F"/>
    <w:rsid w:val="00B71896"/>
    <w:rsid w:val="00BC40B2"/>
    <w:rsid w:val="00BE719C"/>
    <w:rsid w:val="00C503E2"/>
    <w:rsid w:val="00C678F0"/>
    <w:rsid w:val="00CB41F3"/>
    <w:rsid w:val="00CF5F5E"/>
    <w:rsid w:val="00CF62A6"/>
    <w:rsid w:val="00D40A46"/>
    <w:rsid w:val="00D82256"/>
    <w:rsid w:val="00D85198"/>
    <w:rsid w:val="00DD1AD6"/>
    <w:rsid w:val="00DE0D8E"/>
    <w:rsid w:val="00DE4C5A"/>
    <w:rsid w:val="00E32BC2"/>
    <w:rsid w:val="00E555A2"/>
    <w:rsid w:val="00E92784"/>
    <w:rsid w:val="00EC6DD5"/>
    <w:rsid w:val="00ED5987"/>
    <w:rsid w:val="00F02A69"/>
    <w:rsid w:val="00F47C36"/>
    <w:rsid w:val="00F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614D5"/>
  <w15:docId w15:val="{6CC0A95F-1AE7-4C67-A1E3-E71109D1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17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17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D1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F5E"/>
  </w:style>
  <w:style w:type="paragraph" w:styleId="a6">
    <w:name w:val="footer"/>
    <w:basedOn w:val="a"/>
    <w:link w:val="a7"/>
    <w:uiPriority w:val="99"/>
    <w:unhideWhenUsed/>
    <w:rsid w:val="00CF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F5E"/>
  </w:style>
  <w:style w:type="table" w:styleId="a8">
    <w:name w:val="Table Grid"/>
    <w:basedOn w:val="a1"/>
    <w:uiPriority w:val="59"/>
    <w:rsid w:val="0095342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iPriority w:val="99"/>
    <w:semiHidden/>
    <w:unhideWhenUsed/>
    <w:rsid w:val="00516DDB"/>
    <w:rPr>
      <w:color w:val="0000FF"/>
      <w:u w:val="single"/>
    </w:rPr>
  </w:style>
  <w:style w:type="character" w:customStyle="1" w:styleId="note">
    <w:name w:val="note"/>
    <w:basedOn w:val="a0"/>
    <w:rsid w:val="00516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K1700000120" TargetMode="External"/><Relationship Id="rId18" Type="http://schemas.openxmlformats.org/officeDocument/2006/relationships/hyperlink" Target="https://adilet.zan.kz/rus/docs/K1700000120" TargetMode="External"/><Relationship Id="rId26" Type="http://schemas.openxmlformats.org/officeDocument/2006/relationships/hyperlink" Target="https://adilet.zan.kz/rus/docs/K1700000120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adilet.zan.kz/rus/docs/K1700000120" TargetMode="External"/><Relationship Id="rId34" Type="http://schemas.openxmlformats.org/officeDocument/2006/relationships/hyperlink" Target="https://adilet.zan.kz/rus/docs/K1700000120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adilet.zan.kz/rus/docs/K17000001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adilet.zan.kz/rus/docs/K1700000120" TargetMode="External"/><Relationship Id="rId20" Type="http://schemas.openxmlformats.org/officeDocument/2006/relationships/hyperlink" Target="https://adilet.zan.kz/rus/docs/K1700000120" TargetMode="External"/><Relationship Id="rId29" Type="http://schemas.openxmlformats.org/officeDocument/2006/relationships/hyperlink" Target="https://adilet.zan.kz/rus/docs/K1700000120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K1700000120" TargetMode="External"/><Relationship Id="rId11" Type="http://schemas.openxmlformats.org/officeDocument/2006/relationships/hyperlink" Target="https://adilet.zan.kz/rus/docs/K1700000120" TargetMode="External"/><Relationship Id="rId24" Type="http://schemas.openxmlformats.org/officeDocument/2006/relationships/hyperlink" Target="https://adilet.zan.kz/rus/docs/K1700000120" TargetMode="External"/><Relationship Id="rId32" Type="http://schemas.openxmlformats.org/officeDocument/2006/relationships/hyperlink" Target="https://adilet.zan.kz/rus/docs/K1700000120" TargetMode="External"/><Relationship Id="rId37" Type="http://schemas.openxmlformats.org/officeDocument/2006/relationships/hyperlink" Target="https://adilet.zan.kz/rus/docs/K1700000120" TargetMode="External"/><Relationship Id="rId40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adilet.zan.kz/rus/docs/K1700000120" TargetMode="External"/><Relationship Id="rId23" Type="http://schemas.openxmlformats.org/officeDocument/2006/relationships/hyperlink" Target="https://adilet.zan.kz/rus/docs/K1700000120" TargetMode="External"/><Relationship Id="rId28" Type="http://schemas.openxmlformats.org/officeDocument/2006/relationships/hyperlink" Target="https://adilet.zan.kz/rus/docs/K1700000120" TargetMode="External"/><Relationship Id="rId36" Type="http://schemas.openxmlformats.org/officeDocument/2006/relationships/hyperlink" Target="https://adilet.zan.kz/rus/docs/K1700000120" TargetMode="External"/><Relationship Id="rId10" Type="http://schemas.openxmlformats.org/officeDocument/2006/relationships/hyperlink" Target="https://adilet.zan.kz/rus/docs/K1700000120" TargetMode="External"/><Relationship Id="rId19" Type="http://schemas.openxmlformats.org/officeDocument/2006/relationships/hyperlink" Target="https://adilet.zan.kz/rus/docs/K1700000120" TargetMode="External"/><Relationship Id="rId31" Type="http://schemas.openxmlformats.org/officeDocument/2006/relationships/hyperlink" Target="https://adilet.zan.kz/rus/docs/K170000012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adilet.zan.kz/rus/docs/K1700000120" TargetMode="External"/><Relationship Id="rId14" Type="http://schemas.openxmlformats.org/officeDocument/2006/relationships/hyperlink" Target="https://adilet.zan.kz/rus/docs/K1700000120" TargetMode="External"/><Relationship Id="rId22" Type="http://schemas.openxmlformats.org/officeDocument/2006/relationships/hyperlink" Target="https://adilet.zan.kz/rus/docs/K1700000120" TargetMode="External"/><Relationship Id="rId27" Type="http://schemas.openxmlformats.org/officeDocument/2006/relationships/hyperlink" Target="https://adilet.zan.kz/rus/docs/K1700000120" TargetMode="External"/><Relationship Id="rId30" Type="http://schemas.openxmlformats.org/officeDocument/2006/relationships/hyperlink" Target="https://adilet.zan.kz/rus/docs/K1700000120" TargetMode="External"/><Relationship Id="rId35" Type="http://schemas.openxmlformats.org/officeDocument/2006/relationships/hyperlink" Target="https://adilet.zan.kz/rus/docs/K1700000120" TargetMode="External"/><Relationship Id="rId8" Type="http://schemas.openxmlformats.org/officeDocument/2006/relationships/hyperlink" Target="https://adilet.zan.kz/rus/docs/K170000012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adilet.zan.kz/rus/docs/K1700000120" TargetMode="External"/><Relationship Id="rId17" Type="http://schemas.openxmlformats.org/officeDocument/2006/relationships/hyperlink" Target="https://adilet.zan.kz/rus/docs/K1700000120" TargetMode="External"/><Relationship Id="rId25" Type="http://schemas.openxmlformats.org/officeDocument/2006/relationships/hyperlink" Target="https://adilet.zan.kz/rus/docs/K1700000120" TargetMode="External"/><Relationship Id="rId33" Type="http://schemas.openxmlformats.org/officeDocument/2006/relationships/hyperlink" Target="https://adilet.zan.kz/rus/docs/K1700000120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2270</Words>
  <Characters>12944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Meruert</cp:lastModifiedBy>
  <cp:revision>5</cp:revision>
  <dcterms:created xsi:type="dcterms:W3CDTF">2020-12-20T05:29:00Z</dcterms:created>
  <dcterms:modified xsi:type="dcterms:W3CDTF">2022-05-16T09:54:00Z</dcterms:modified>
</cp:coreProperties>
</file>